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jc w:val="both"/>
        <w:rPr>
          <w:sz w:val="24"/>
          <w:szCs w:val="24"/>
        </w:rPr>
      </w:pPr>
      <w:r w:rsidDel="00000000" w:rsidR="00000000" w:rsidRPr="00000000">
        <w:rPr>
          <w:sz w:val="24"/>
          <w:szCs w:val="24"/>
          <w:rtl w:val="0"/>
        </w:rPr>
        <w:t xml:space="preserve">The Chippewas of Nawash Unceded First Nation and Saugeen First Nation are partnering with the Huronia Area Aboriginal Management Board (HAAMB) and Aboriginal Labour Force Development Circle to build two Tiny Homes. A Tiny Home is a small-footprint home that maximizes space and energy efficiency while still offering the comfort and service connections of a full-size residence. A Tiny Home can be a cost-effective and environmentally friendly alternative for individuals, couples and small families. Each First Nation will take ownership of one of the Tiny Homes to add to its housing stock.</w:t>
      </w:r>
      <w:r w:rsidDel="00000000" w:rsidR="00000000" w:rsidRPr="00000000">
        <w:rPr>
          <w:rtl w:val="0"/>
        </w:rPr>
      </w:r>
    </w:p>
    <w:p w:rsidR="00000000" w:rsidDel="00000000" w:rsidP="00000000" w:rsidRDefault="00000000" w:rsidRPr="00000000" w14:paraId="00000002">
      <w:pPr>
        <w:spacing w:before="0" w:lineRule="auto"/>
        <w:jc w:val="both"/>
        <w:rPr>
          <w:sz w:val="24"/>
          <w:szCs w:val="24"/>
        </w:rPr>
      </w:pPr>
      <w:r w:rsidDel="00000000" w:rsidR="00000000" w:rsidRPr="00000000">
        <w:rPr>
          <w:rtl w:val="0"/>
        </w:rPr>
      </w:r>
    </w:p>
    <w:p w:rsidR="00000000" w:rsidDel="00000000" w:rsidP="00000000" w:rsidRDefault="00000000" w:rsidRPr="00000000" w14:paraId="00000003">
      <w:pPr>
        <w:spacing w:before="0" w:lineRule="auto"/>
        <w:jc w:val="both"/>
        <w:rPr>
          <w:sz w:val="24"/>
          <w:szCs w:val="24"/>
        </w:rPr>
      </w:pPr>
      <w:r w:rsidDel="00000000" w:rsidR="00000000" w:rsidRPr="00000000">
        <w:rPr>
          <w:sz w:val="24"/>
          <w:szCs w:val="24"/>
          <w:rtl w:val="0"/>
        </w:rPr>
        <w:t xml:space="preserve">You are asked to provide some identifying information to demonstrate that you are a Chippewas of Nawash member. This information is only used to verify your membership and will not be saved. All survey answers will be anonymous.</w:t>
      </w:r>
    </w:p>
    <w:p w:rsidR="00000000" w:rsidDel="00000000" w:rsidP="00000000" w:rsidRDefault="00000000" w:rsidRPr="00000000" w14:paraId="00000004">
      <w:pPr>
        <w:spacing w:before="0" w:lineRule="auto"/>
        <w:jc w:val="both"/>
        <w:rPr>
          <w:sz w:val="24"/>
          <w:szCs w:val="24"/>
        </w:rPr>
      </w:pPr>
      <w:r w:rsidDel="00000000" w:rsidR="00000000" w:rsidRPr="00000000">
        <w:rPr>
          <w:rtl w:val="0"/>
        </w:rPr>
      </w:r>
    </w:p>
    <w:p w:rsidR="00000000" w:rsidDel="00000000" w:rsidP="00000000" w:rsidRDefault="00000000" w:rsidRPr="00000000" w14:paraId="00000005">
      <w:pPr>
        <w:numPr>
          <w:ilvl w:val="0"/>
          <w:numId w:val="1"/>
        </w:numPr>
        <w:spacing w:before="0" w:lineRule="auto"/>
        <w:ind w:left="450" w:hanging="360"/>
        <w:rPr>
          <w:sz w:val="24"/>
          <w:szCs w:val="24"/>
        </w:rPr>
      </w:pPr>
      <w:r w:rsidDel="00000000" w:rsidR="00000000" w:rsidRPr="00000000">
        <w:rPr>
          <w:b w:val="1"/>
          <w:sz w:val="24"/>
          <w:szCs w:val="24"/>
          <w:rtl w:val="0"/>
        </w:rPr>
        <w:t xml:space="preserve">First Name</w:t>
      </w:r>
    </w:p>
    <w:p w:rsidR="00000000" w:rsidDel="00000000" w:rsidP="00000000" w:rsidRDefault="00000000" w:rsidRPr="00000000" w14:paraId="00000006">
      <w:pPr>
        <w:spacing w:before="0" w:lineRule="auto"/>
        <w:ind w:left="810" w:hanging="360"/>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07">
      <w:pPr>
        <w:numPr>
          <w:ilvl w:val="0"/>
          <w:numId w:val="1"/>
        </w:numPr>
        <w:spacing w:before="0" w:lineRule="auto"/>
        <w:ind w:left="450" w:hanging="360"/>
        <w:rPr>
          <w:sz w:val="24"/>
          <w:szCs w:val="24"/>
        </w:rPr>
      </w:pPr>
      <w:r w:rsidDel="00000000" w:rsidR="00000000" w:rsidRPr="00000000">
        <w:rPr>
          <w:b w:val="1"/>
          <w:sz w:val="24"/>
          <w:szCs w:val="24"/>
          <w:rtl w:val="0"/>
        </w:rPr>
        <w:t xml:space="preserve">Last Name</w:t>
      </w:r>
    </w:p>
    <w:p w:rsidR="00000000" w:rsidDel="00000000" w:rsidP="00000000" w:rsidRDefault="00000000" w:rsidRPr="00000000" w14:paraId="00000008">
      <w:pPr>
        <w:spacing w:before="0" w:lineRule="auto"/>
        <w:ind w:left="810" w:hanging="360"/>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09">
      <w:pPr>
        <w:numPr>
          <w:ilvl w:val="0"/>
          <w:numId w:val="1"/>
        </w:numPr>
        <w:spacing w:before="0" w:lineRule="auto"/>
        <w:ind w:left="450" w:hanging="360"/>
        <w:rPr>
          <w:sz w:val="24"/>
          <w:szCs w:val="24"/>
        </w:rPr>
      </w:pPr>
      <w:r w:rsidDel="00000000" w:rsidR="00000000" w:rsidRPr="00000000">
        <w:rPr>
          <w:b w:val="1"/>
          <w:sz w:val="24"/>
          <w:szCs w:val="24"/>
          <w:rtl w:val="0"/>
        </w:rPr>
        <w:t xml:space="preserve">Birthdate</w:t>
      </w:r>
      <w:r w:rsidDel="00000000" w:rsidR="00000000" w:rsidRPr="00000000">
        <w:rPr>
          <w:sz w:val="24"/>
          <w:szCs w:val="24"/>
          <w:rtl w:val="0"/>
        </w:rPr>
        <w:t xml:space="preserve"> (mm/dd/yyyy) </w:t>
      </w:r>
    </w:p>
    <w:p w:rsidR="00000000" w:rsidDel="00000000" w:rsidP="00000000" w:rsidRDefault="00000000" w:rsidRPr="00000000" w14:paraId="0000000A">
      <w:pPr>
        <w:spacing w:before="0" w:lineRule="auto"/>
        <w:ind w:left="810" w:hanging="360"/>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0B">
      <w:pPr>
        <w:numPr>
          <w:ilvl w:val="0"/>
          <w:numId w:val="1"/>
        </w:numPr>
        <w:spacing w:before="0" w:lineRule="auto"/>
        <w:ind w:left="450" w:hanging="360"/>
        <w:rPr>
          <w:sz w:val="24"/>
          <w:szCs w:val="24"/>
        </w:rPr>
      </w:pPr>
      <w:r w:rsidDel="00000000" w:rsidR="00000000" w:rsidRPr="00000000">
        <w:rPr>
          <w:b w:val="1"/>
          <w:sz w:val="24"/>
          <w:szCs w:val="24"/>
          <w:rtl w:val="0"/>
        </w:rPr>
        <w:t xml:space="preserve">Status Card Number</w:t>
      </w:r>
      <w:r w:rsidDel="00000000" w:rsidR="00000000" w:rsidRPr="00000000">
        <w:rPr>
          <w:sz w:val="24"/>
          <w:szCs w:val="24"/>
          <w:rtl w:val="0"/>
        </w:rPr>
        <w:t xml:space="preserve"> (10 digits - This verifies that you are a Chippewas of Nawash member.)</w:t>
      </w:r>
    </w:p>
    <w:p w:rsidR="00000000" w:rsidDel="00000000" w:rsidP="00000000" w:rsidRDefault="00000000" w:rsidRPr="00000000" w14:paraId="0000000C">
      <w:pPr>
        <w:spacing w:before="0" w:lineRule="auto"/>
        <w:ind w:left="810" w:hanging="360"/>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0D">
      <w:pPr>
        <w:numPr>
          <w:ilvl w:val="0"/>
          <w:numId w:val="1"/>
        </w:numPr>
        <w:spacing w:before="0" w:lineRule="auto"/>
        <w:ind w:left="450" w:hanging="360"/>
        <w:rPr>
          <w:sz w:val="24"/>
          <w:szCs w:val="24"/>
        </w:rPr>
      </w:pPr>
      <w:r w:rsidDel="00000000" w:rsidR="00000000" w:rsidRPr="00000000">
        <w:rPr>
          <w:b w:val="1"/>
          <w:sz w:val="24"/>
          <w:szCs w:val="24"/>
          <w:rtl w:val="0"/>
        </w:rPr>
        <w:t xml:space="preserve">The Tiny Home can accommodate at most two residents at a time. How do you think the Tiny Home should be allocated in Neyaashiinigmiing?</w:t>
      </w:r>
      <w:r w:rsidDel="00000000" w:rsidR="00000000" w:rsidRPr="00000000">
        <w:rPr>
          <w:sz w:val="24"/>
          <w:szCs w:val="24"/>
          <w:rtl w:val="0"/>
        </w:rPr>
        <w:t xml:space="preserve"> (Select one)</w:t>
      </w:r>
    </w:p>
    <w:p w:rsidR="00000000" w:rsidDel="00000000" w:rsidP="00000000" w:rsidRDefault="00000000" w:rsidRPr="00000000" w14:paraId="0000000E">
      <w:pPr>
        <w:spacing w:before="0" w:lineRule="auto"/>
        <w:ind w:left="450" w:firstLine="0"/>
        <w:rPr>
          <w:sz w:val="24"/>
          <w:szCs w:val="24"/>
        </w:rPr>
      </w:pPr>
      <w:r w:rsidDel="00000000" w:rsidR="00000000" w:rsidRPr="00000000">
        <w:rPr>
          <w:sz w:val="24"/>
          <w:szCs w:val="24"/>
          <w:rtl w:val="0"/>
        </w:rPr>
        <w:t xml:space="preserve">▢   As a Long-term Rental for a Single Senior</w:t>
      </w:r>
    </w:p>
    <w:p w:rsidR="00000000" w:rsidDel="00000000" w:rsidP="00000000" w:rsidRDefault="00000000" w:rsidRPr="00000000" w14:paraId="0000000F">
      <w:pPr>
        <w:spacing w:before="0" w:lineRule="auto"/>
        <w:ind w:left="450" w:firstLine="0"/>
        <w:rPr>
          <w:sz w:val="24"/>
          <w:szCs w:val="24"/>
        </w:rPr>
      </w:pPr>
      <w:r w:rsidDel="00000000" w:rsidR="00000000" w:rsidRPr="00000000">
        <w:rPr>
          <w:sz w:val="24"/>
          <w:szCs w:val="24"/>
          <w:rtl w:val="0"/>
        </w:rPr>
        <w:t xml:space="preserve">▢   As a Long-term Rental for a Senior Couple</w:t>
      </w:r>
    </w:p>
    <w:p w:rsidR="00000000" w:rsidDel="00000000" w:rsidP="00000000" w:rsidRDefault="00000000" w:rsidRPr="00000000" w14:paraId="00000010">
      <w:pPr>
        <w:spacing w:before="0" w:lineRule="auto"/>
        <w:ind w:left="450" w:firstLine="0"/>
        <w:rPr>
          <w:sz w:val="24"/>
          <w:szCs w:val="24"/>
        </w:rPr>
      </w:pPr>
      <w:r w:rsidDel="00000000" w:rsidR="00000000" w:rsidRPr="00000000">
        <w:rPr>
          <w:sz w:val="24"/>
          <w:szCs w:val="24"/>
          <w:rtl w:val="0"/>
        </w:rPr>
        <w:t xml:space="preserve">▢   As a Long-term Rental for a Single Male</w:t>
      </w:r>
    </w:p>
    <w:p w:rsidR="00000000" w:rsidDel="00000000" w:rsidP="00000000" w:rsidRDefault="00000000" w:rsidRPr="00000000" w14:paraId="00000011">
      <w:pPr>
        <w:spacing w:before="0" w:lineRule="auto"/>
        <w:ind w:left="450" w:firstLine="0"/>
        <w:rPr>
          <w:sz w:val="24"/>
          <w:szCs w:val="24"/>
        </w:rPr>
      </w:pPr>
      <w:r w:rsidDel="00000000" w:rsidR="00000000" w:rsidRPr="00000000">
        <w:rPr>
          <w:sz w:val="24"/>
          <w:szCs w:val="24"/>
          <w:rtl w:val="0"/>
        </w:rPr>
        <w:t xml:space="preserve">▢   As a Long-term Rental for a Single Female</w:t>
      </w:r>
    </w:p>
    <w:p w:rsidR="00000000" w:rsidDel="00000000" w:rsidP="00000000" w:rsidRDefault="00000000" w:rsidRPr="00000000" w14:paraId="00000012">
      <w:pPr>
        <w:spacing w:before="0" w:lineRule="auto"/>
        <w:ind w:left="450" w:firstLine="0"/>
        <w:rPr>
          <w:sz w:val="24"/>
          <w:szCs w:val="24"/>
        </w:rPr>
      </w:pPr>
      <w:r w:rsidDel="00000000" w:rsidR="00000000" w:rsidRPr="00000000">
        <w:rPr>
          <w:sz w:val="24"/>
          <w:szCs w:val="24"/>
          <w:rtl w:val="0"/>
        </w:rPr>
        <w:t xml:space="preserve">▢   As a Long-term Rental for a Couple with no children</w:t>
      </w:r>
    </w:p>
    <w:p w:rsidR="00000000" w:rsidDel="00000000" w:rsidP="00000000" w:rsidRDefault="00000000" w:rsidRPr="00000000" w14:paraId="00000013">
      <w:pPr>
        <w:spacing w:before="0" w:lineRule="auto"/>
        <w:ind w:left="450" w:firstLine="0"/>
        <w:rPr>
          <w:sz w:val="24"/>
          <w:szCs w:val="24"/>
        </w:rPr>
      </w:pPr>
      <w:r w:rsidDel="00000000" w:rsidR="00000000" w:rsidRPr="00000000">
        <w:rPr>
          <w:sz w:val="24"/>
          <w:szCs w:val="24"/>
          <w:rtl w:val="0"/>
        </w:rPr>
        <w:t xml:space="preserve">▢   As a Long-term Rental for a Single parent with one child</w:t>
      </w:r>
    </w:p>
    <w:p w:rsidR="00000000" w:rsidDel="00000000" w:rsidP="00000000" w:rsidRDefault="00000000" w:rsidRPr="00000000" w14:paraId="00000014">
      <w:pPr>
        <w:spacing w:before="0" w:lineRule="auto"/>
        <w:ind w:left="450" w:firstLine="0"/>
        <w:rPr>
          <w:sz w:val="24"/>
          <w:szCs w:val="24"/>
        </w:rPr>
      </w:pPr>
      <w:r w:rsidDel="00000000" w:rsidR="00000000" w:rsidRPr="00000000">
        <w:rPr>
          <w:sz w:val="24"/>
          <w:szCs w:val="24"/>
          <w:rtl w:val="0"/>
        </w:rPr>
        <w:t xml:space="preserve">▢   As a Long-term Rental for any qualified applicant for a maximum of two residents</w:t>
      </w:r>
    </w:p>
    <w:p w:rsidR="00000000" w:rsidDel="00000000" w:rsidP="00000000" w:rsidRDefault="00000000" w:rsidRPr="00000000" w14:paraId="00000015">
      <w:pPr>
        <w:spacing w:before="0" w:lineRule="auto"/>
        <w:ind w:left="450" w:firstLine="0"/>
        <w:rPr>
          <w:sz w:val="24"/>
          <w:szCs w:val="24"/>
        </w:rPr>
      </w:pPr>
      <w:r w:rsidDel="00000000" w:rsidR="00000000" w:rsidRPr="00000000">
        <w:rPr>
          <w:sz w:val="24"/>
          <w:szCs w:val="24"/>
          <w:rtl w:val="0"/>
        </w:rPr>
        <w:t xml:space="preserve">▢   As a temporary Transition Home for any of the above</w:t>
      </w:r>
    </w:p>
    <w:p w:rsidR="00000000" w:rsidDel="00000000" w:rsidP="00000000" w:rsidRDefault="00000000" w:rsidRPr="00000000" w14:paraId="00000016">
      <w:pPr>
        <w:spacing w:before="0" w:lineRule="auto"/>
        <w:rPr>
          <w:sz w:val="24"/>
          <w:szCs w:val="24"/>
        </w:rPr>
      </w:pPr>
      <w:r w:rsidDel="00000000" w:rsidR="00000000" w:rsidRPr="00000000">
        <w:rPr>
          <w:rtl w:val="0"/>
        </w:rPr>
      </w:r>
    </w:p>
    <w:p w:rsidR="00000000" w:rsidDel="00000000" w:rsidP="00000000" w:rsidRDefault="00000000" w:rsidRPr="00000000" w14:paraId="00000017">
      <w:pPr>
        <w:spacing w:before="0" w:lineRule="auto"/>
        <w:rPr>
          <w:sz w:val="24"/>
          <w:szCs w:val="24"/>
        </w:rPr>
      </w:pPr>
      <w:r w:rsidDel="00000000" w:rsidR="00000000" w:rsidRPr="00000000">
        <w:rPr>
          <w:sz w:val="24"/>
          <w:szCs w:val="24"/>
          <w:rtl w:val="0"/>
        </w:rPr>
        <w:t xml:space="preserve">Add additional comments here (optional):</w:t>
      </w:r>
    </w:p>
    <w:p w:rsidR="00000000" w:rsidDel="00000000" w:rsidP="00000000" w:rsidRDefault="00000000" w:rsidRPr="00000000" w14:paraId="00000018">
      <w:pPr>
        <w:spacing w:before="0" w:lineRule="auto"/>
        <w:rPr>
          <w:sz w:val="24"/>
          <w:szCs w:val="24"/>
        </w:rPr>
      </w:pPr>
      <w:r w:rsidDel="00000000" w:rsidR="00000000" w:rsidRPr="00000000">
        <w:rPr>
          <w:rtl w:val="0"/>
        </w:rPr>
      </w:r>
    </w:p>
    <w:p w:rsidR="00000000" w:rsidDel="00000000" w:rsidP="00000000" w:rsidRDefault="00000000" w:rsidRPr="00000000" w14:paraId="00000019">
      <w:pPr>
        <w:spacing w:before="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before="0" w:lineRule="auto"/>
        <w:rPr>
          <w:sz w:val="24"/>
          <w:szCs w:val="24"/>
        </w:rPr>
      </w:pPr>
      <w:r w:rsidDel="00000000" w:rsidR="00000000" w:rsidRPr="00000000">
        <w:rPr>
          <w:rtl w:val="0"/>
        </w:rPr>
      </w:r>
    </w:p>
    <w:p w:rsidR="00000000" w:rsidDel="00000000" w:rsidP="00000000" w:rsidRDefault="00000000" w:rsidRPr="00000000" w14:paraId="0000001B">
      <w:pPr>
        <w:spacing w:before="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before="200" w:lineRule="auto"/>
        <w:rPr>
          <w:sz w:val="24"/>
          <w:szCs w:val="24"/>
        </w:rPr>
      </w:pPr>
      <w:r w:rsidDel="00000000" w:rsidR="00000000" w:rsidRPr="00000000">
        <w:rPr>
          <w:sz w:val="24"/>
          <w:szCs w:val="24"/>
          <w:rtl w:val="0"/>
        </w:rPr>
        <w:t xml:space="preserve">Please return your completed survey to the Band Administration Office, 135 Lakeshore Blvd.</w:t>
      </w:r>
    </w:p>
    <w:p w:rsidR="00000000" w:rsidDel="00000000" w:rsidP="00000000" w:rsidRDefault="00000000" w:rsidRPr="00000000" w14:paraId="0000001D">
      <w:pPr>
        <w:spacing w:before="0" w:lineRule="auto"/>
        <w:rPr>
          <w:sz w:val="24"/>
          <w:szCs w:val="24"/>
        </w:rPr>
      </w:pPr>
      <w:r w:rsidDel="00000000" w:rsidR="00000000" w:rsidRPr="00000000">
        <w:rPr>
          <w:sz w:val="24"/>
          <w:szCs w:val="24"/>
          <w:rtl w:val="0"/>
        </w:rPr>
        <w:t xml:space="preserve">Attention: Tiny Home Best-Use Survey</w:t>
      </w:r>
      <w:r w:rsidDel="00000000" w:rsidR="00000000" w:rsidRPr="00000000">
        <w:rPr>
          <w:rtl w:val="0"/>
        </w:rPr>
      </w:r>
    </w:p>
    <w:sectPr>
      <w:headerReference r:id="rId6" w:type="default"/>
      <w:headerReference r:id="rId7" w:type="first"/>
      <w:footerReference r:id="rId8" w:type="first"/>
      <w:footerReference r:id="rId9" w:type="default"/>
      <w:pgSz w:h="15840" w:w="12240"/>
      <w:pgMar w:bottom="720" w:top="450" w:left="720" w:right="720" w:header="0" w:footer="0"/>
      <w:pgNumType w:start="1"/>
      <w:cols w:equalWidth="0" w:num="1">
        <w:col w:space="0" w:w="1080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Merriweather">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Source Sans Pro">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720" w:right="-1005" w:firstLine="0"/>
      <w:rPr>
        <w:sz w:val="14"/>
        <w:szCs w:val="14"/>
      </w:rPr>
    </w:pPr>
    <w:r w:rsidDel="00000000" w:rsidR="00000000" w:rsidRPr="00000000">
      <w:rPr>
        <w:rtl w:val="0"/>
      </w:rPr>
    </w:r>
  </w:p>
  <w:tbl>
    <w:tblPr>
      <w:tblStyle w:val="Table1"/>
      <w:tblW w:w="12945.0" w:type="dxa"/>
      <w:jc w:val="center"/>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945"/>
      <w:tblGridChange w:id="0">
        <w:tblGrid>
          <w:gridCol w:w="12945"/>
        </w:tblGrid>
      </w:tblGridChange>
    </w:tblGrid>
    <w:tr>
      <w:trPr>
        <w:trHeight w:val="144" w:hRule="atLeast"/>
      </w:trPr>
      <w:tc>
        <w:tcPr>
          <w:shd w:fill="5e2b97"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72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tbl>
    <w:tblPr>
      <w:tblStyle w:val="Table3"/>
      <w:tblW w:w="12945.0" w:type="dxa"/>
      <w:jc w:val="center"/>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945"/>
      <w:tblGridChange w:id="0">
        <w:tblGrid>
          <w:gridCol w:w="12945"/>
        </w:tblGrid>
      </w:tblGridChange>
    </w:tblGrid>
    <w:tr>
      <w:trPr>
        <w:trHeight w:val="144" w:hRule="atLeast"/>
      </w:trPr>
      <w:tc>
        <w:tcPr>
          <w:shd w:fill="5e2b97" w:val="clear"/>
          <w:tcMar>
            <w:top w:w="100.0" w:type="dxa"/>
            <w:left w:w="100.0" w:type="dxa"/>
            <w:bottom w:w="100.0" w:type="dxa"/>
            <w:right w:w="100.0" w:type="dxa"/>
          </w:tcM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0" w:lineRule="auto"/>
            <w:ind w:left="270"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6858000" cy="54864"/>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6858000" cy="5486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Style w:val="Title"/>
      <w:rPr>
        <w:rFonts w:ascii="Merriweather" w:cs="Merriweather" w:eastAsia="Merriweather" w:hAnsi="Merriweather"/>
        <w:b w:val="1"/>
        <w:color w:val="000000"/>
        <w:sz w:val="40"/>
        <w:szCs w:val="40"/>
      </w:rPr>
    </w:pPr>
    <w:bookmarkStart w:colFirst="0" w:colLast="0" w:name="_uwtpzkmp9874" w:id="0"/>
    <w:bookmarkEnd w:id="0"/>
    <w:r w:rsidDel="00000000" w:rsidR="00000000" w:rsidRPr="00000000">
      <w:rPr>
        <w:rtl w:val="0"/>
      </w:rPr>
    </w:r>
  </w:p>
  <w:tbl>
    <w:tblPr>
      <w:tblStyle w:val="Table2"/>
      <w:tblW w:w="10800.0" w:type="dxa"/>
      <w:jc w:val="left"/>
      <w:tblInd w:w="85.0" w:type="dxa"/>
      <w:tblLayout w:type="fixed"/>
      <w:tblLook w:val="0600"/>
    </w:tblPr>
    <w:tblGrid>
      <w:gridCol w:w="1890"/>
      <w:gridCol w:w="8910"/>
      <w:tblGridChange w:id="0">
        <w:tblGrid>
          <w:gridCol w:w="1890"/>
          <w:gridCol w:w="89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before="0" w:line="240" w:lineRule="auto"/>
            <w:rPr>
              <w:rFonts w:ascii="Merriweather" w:cs="Merriweather" w:eastAsia="Merriweather" w:hAnsi="Merriweather"/>
              <w:b w:val="1"/>
              <w:color w:val="000000"/>
              <w:sz w:val="40"/>
              <w:szCs w:val="40"/>
            </w:rPr>
          </w:pPr>
          <w:r w:rsidDel="00000000" w:rsidR="00000000" w:rsidRPr="00000000">
            <w:rPr>
              <w:rFonts w:ascii="Merriweather" w:cs="Merriweather" w:eastAsia="Merriweather" w:hAnsi="Merriweather"/>
              <w:b w:val="1"/>
              <w:color w:val="000000"/>
              <w:sz w:val="40"/>
              <w:szCs w:val="40"/>
            </w:rPr>
            <w:drawing>
              <wp:inline distB="114300" distT="114300" distL="114300" distR="114300">
                <wp:extent cx="1066800" cy="939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6800" cy="939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Style w:val="Title"/>
            <w:rPr>
              <w:rFonts w:ascii="Merriweather" w:cs="Merriweather" w:eastAsia="Merriweather" w:hAnsi="Merriweather"/>
              <w:b w:val="1"/>
              <w:color w:val="000000"/>
              <w:sz w:val="20"/>
              <w:szCs w:val="20"/>
            </w:rPr>
          </w:pPr>
          <w:bookmarkStart w:colFirst="0" w:colLast="0" w:name="_aoi3gd10uhwo" w:id="1"/>
          <w:bookmarkEnd w:id="1"/>
          <w:r w:rsidDel="00000000" w:rsidR="00000000" w:rsidRPr="00000000">
            <w:rPr>
              <w:rtl w:val="0"/>
            </w:rPr>
          </w:r>
        </w:p>
        <w:p w:rsidR="00000000" w:rsidDel="00000000" w:rsidP="00000000" w:rsidRDefault="00000000" w:rsidRPr="00000000" w14:paraId="00000027">
          <w:pPr>
            <w:pStyle w:val="Title"/>
            <w:rPr>
              <w:rFonts w:ascii="Merriweather" w:cs="Merriweather" w:eastAsia="Merriweather" w:hAnsi="Merriweather"/>
              <w:b w:val="1"/>
              <w:color w:val="000000"/>
              <w:sz w:val="44"/>
              <w:szCs w:val="44"/>
            </w:rPr>
          </w:pPr>
          <w:bookmarkStart w:colFirst="0" w:colLast="0" w:name="_j29j1nd5xlzr" w:id="2"/>
          <w:bookmarkEnd w:id="2"/>
          <w:r w:rsidDel="00000000" w:rsidR="00000000" w:rsidRPr="00000000">
            <w:rPr>
              <w:rFonts w:ascii="Merriweather" w:cs="Merriweather" w:eastAsia="Merriweather" w:hAnsi="Merriweather"/>
              <w:b w:val="1"/>
              <w:color w:val="000000"/>
              <w:sz w:val="40"/>
              <w:szCs w:val="40"/>
              <w:rtl w:val="0"/>
            </w:rPr>
            <w:t xml:space="preserve">Chippewas of Nawash Unceded First Nation</w:t>
          </w:r>
          <w:r w:rsidDel="00000000" w:rsidR="00000000" w:rsidRPr="00000000">
            <w:rPr>
              <w:rFonts w:ascii="Yellowtail" w:cs="Yellowtail" w:eastAsia="Yellowtail" w:hAnsi="Yellowtail"/>
              <w:color w:val="000000"/>
              <w:sz w:val="36"/>
              <w:szCs w:val="36"/>
              <w:rtl w:val="0"/>
            </w:rPr>
            <w:br w:type="textWrapping"/>
          </w:r>
          <w:r w:rsidDel="00000000" w:rsidR="00000000" w:rsidRPr="00000000">
            <w:rPr>
              <w:rFonts w:ascii="Calibri" w:cs="Calibri" w:eastAsia="Calibri" w:hAnsi="Calibri"/>
              <w:sz w:val="44"/>
              <w:szCs w:val="44"/>
              <w:rtl w:val="0"/>
            </w:rPr>
            <w:t xml:space="preserve">Survey: Tiny Home Best-Use</w:t>
          </w:r>
          <w:r w:rsidDel="00000000" w:rsidR="00000000" w:rsidRPr="00000000">
            <w:rPr>
              <w:rtl w:val="0"/>
            </w:rPr>
          </w:r>
        </w:p>
      </w:tc>
    </w:tr>
  </w:tbl>
  <w:p w:rsidR="00000000" w:rsidDel="00000000" w:rsidP="00000000" w:rsidRDefault="00000000" w:rsidRPr="00000000" w14:paraId="00000028">
    <w:pPr>
      <w:spacing w:before="0" w:lineRule="auto"/>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spacing w:before="480" w:lineRule="auto"/>
    </w:pPr>
    <w:rPr>
      <w:b w:val="1"/>
      <w:color w:val="434343"/>
      <w:sz w:val="32"/>
      <w:szCs w:val="32"/>
    </w:rPr>
  </w:style>
  <w:style w:type="paragraph" w:styleId="Heading3">
    <w:name w:val="heading 3"/>
    <w:basedOn w:val="Normal"/>
    <w:next w:val="Normal"/>
    <w:pPr>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spacing w:line="240" w:lineRule="auto"/>
      <w:ind w:left="-15" w:right="-15" w:firstLine="0"/>
    </w:pPr>
    <w:rPr>
      <w:color w:val="ec7b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15" w:right="-15" w:firstLine="0"/>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spacing w:line="240" w:lineRule="auto"/>
      <w:ind w:left="-15" w:right="-15" w:firstLine="0"/>
    </w:pPr>
    <w:rPr>
      <w:color w:val="ec7b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Merriweather-regular.ttf"/><Relationship Id="rId11" Type="http://schemas.openxmlformats.org/officeDocument/2006/relationships/font" Target="fonts/SourceSansPro-boldItalic.ttf"/><Relationship Id="rId10" Type="http://schemas.openxmlformats.org/officeDocument/2006/relationships/font" Target="fonts/SourceSansPro-italic.ttf"/><Relationship Id="rId9" Type="http://schemas.openxmlformats.org/officeDocument/2006/relationships/font" Target="fonts/SourceSansPro-bold.ttf"/><Relationship Id="rId5" Type="http://schemas.openxmlformats.org/officeDocument/2006/relationships/font" Target="fonts/Merriweather-bold.ttf"/><Relationship Id="rId6" Type="http://schemas.openxmlformats.org/officeDocument/2006/relationships/font" Target="fonts/Merriweather-italic.ttf"/><Relationship Id="rId7" Type="http://schemas.openxmlformats.org/officeDocument/2006/relationships/font" Target="fonts/Merriweather-boldItalic.ttf"/><Relationship Id="rId8" Type="http://schemas.openxmlformats.org/officeDocument/2006/relationships/font" Target="fonts/SourceSansPr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